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sdt>
      <w:sdtPr>
        <w15:appearance w15:val="boundingBox"/>
        <w:id w:val="1157188053"/>
        <w:docPartObj>
          <w:docPartGallery w:val="Table of Contents"/>
          <w:docPartUnique w:val="true"/>
        </w:docPartObj>
        <w:rPr>
          <w:rFonts w:ascii="Times New Roman" w:hAnsi="Times New Roman" w:cs="Times New Roman" w:eastAsiaTheme="minorHAnsi"/>
          <w:b w:val="0"/>
          <w:bCs w:val="0"/>
          <w:color w:val="auto"/>
          <w:lang w:eastAsia="en-US"/>
        </w:rPr>
      </w:sdtPr>
      <w:sdtContent>
        <w:p>
          <w:pPr>
            <w:pStyle w:val="730"/>
            <w:rPr>
              <w:rFonts w:ascii="Times New Roman" w:hAnsi="Times New Roman" w:cs="Times New Roman"/>
            </w:rPr>
          </w:pPr>
          <w:r/>
          <w:bookmarkStart w:id="0" w:name="_GoBack"/>
          <w:r>
            <w:rPr>
              <w:rFonts w:ascii="Times New Roman" w:hAnsi="Times New Roman" w:cs="Times New Roman" w:eastAsiaTheme="minorHAnsi"/>
              <w:bCs w:val="0"/>
              <w:color w:val="auto"/>
              <w:lang w:eastAsia="en-US"/>
            </w:rPr>
            <w:t xml:space="preserve">ВВЕДЕНИЕ</w:t>
          </w:r>
          <w:r>
            <w:rPr>
              <w:rFonts w:ascii="Times New Roman" w:hAnsi="Times New Roman" w:cs="Times New Roman"/>
            </w:rPr>
          </w:r>
        </w:p>
        <w:p>
          <w:pPr>
            <w:pStyle w:val="731"/>
            <w:tabs>
              <w:tab w:val="right" w:pos="9345" w:leader="dot"/>
            </w:tabs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tooltip="#_Toc400361642" w:anchor="_Toc400361642" w:history="1">
            <w:r>
              <w:rPr>
                <w:rStyle w:val="711"/>
                <w:rFonts w:ascii="Times New Roman" w:hAnsi="Times New Roman" w:cs="Times New Roman"/>
                <w:sz w:val="28"/>
                <w:szCs w:val="28"/>
              </w:rPr>
              <w:t xml:space="preserve">1. Особенности тематики ВИЧ/СПИДа и ИППП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_Toc400361642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731"/>
            <w:tabs>
              <w:tab w:val="right" w:pos="9345" w:leader="dot"/>
            </w:tabs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400361643" w:anchor="_Toc400361643" w:history="1">
            <w:r>
              <w:rPr>
                <w:rStyle w:val="711"/>
                <w:rFonts w:ascii="Times New Roman" w:hAnsi="Times New Roman" w:cs="Times New Roman"/>
                <w:sz w:val="28"/>
                <w:szCs w:val="28"/>
              </w:rPr>
              <w:t xml:space="preserve">2. Принципы информирования и обучения по вопросам ВИЧ/СПИДа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_Toc400361643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731"/>
            <w:tabs>
              <w:tab w:val="right" w:pos="9345" w:leader="dot"/>
            </w:tabs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400361644" w:anchor="_Toc400361644" w:history="1">
            <w:r>
              <w:rPr>
                <w:rStyle w:val="711"/>
                <w:rFonts w:ascii="Times New Roman" w:hAnsi="Times New Roman" w:cs="Times New Roman"/>
                <w:sz w:val="28"/>
                <w:szCs w:val="28"/>
              </w:rPr>
              <w:t xml:space="preserve">3. Характеристики целевой группы, находящиеся в зоне повышенного внимания при проведении профилактической работы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_Toc400361644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731"/>
            <w:tabs>
              <w:tab w:val="right" w:pos="9345" w:leader="dot"/>
            </w:tabs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400361645" w:anchor="_Toc400361645" w:history="1">
            <w:r>
              <w:rPr>
                <w:rStyle w:val="711"/>
                <w:rFonts w:ascii="Times New Roman" w:hAnsi="Times New Roman" w:cs="Times New Roman"/>
                <w:sz w:val="28"/>
                <w:szCs w:val="28"/>
              </w:rPr>
              <w:t xml:space="preserve">4. Факторы, затрудняющие восприятие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_Toc400361645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pStyle w:val="731"/>
            <w:tabs>
              <w:tab w:val="right" w:pos="9345" w:leader="dot"/>
            </w:tabs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pPr>
          <w:r/>
          <w:hyperlink w:tooltip="#_Toc400361646" w:anchor="_Toc400361646" w:history="1">
            <w:r>
              <w:rPr>
                <w:rStyle w:val="711"/>
                <w:rFonts w:ascii="Times New Roman" w:hAnsi="Times New Roman" w:cs="Times New Roman"/>
                <w:sz w:val="28"/>
                <w:szCs w:val="28"/>
              </w:rPr>
              <w:t xml:space="preserve">5. Ошибки при подаче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_Toc400361646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  <w:r/>
          <w:r>
            <w:rPr>
              <w:rFonts w:ascii="Times New Roman" w:hAnsi="Times New Roman" w:cs="Times New Roman" w:eastAsiaTheme="minorEastAsia"/>
              <w:sz w:val="28"/>
              <w:szCs w:val="28"/>
              <w:lang w:eastAsia="ru-RU"/>
            </w:rPr>
          </w:r>
        </w:p>
        <w:p>
          <w:pPr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  <w:r>
            <w:rPr>
              <w:rFonts w:ascii="Times New Roman" w:hAnsi="Times New Roman" w:cs="Times New Roman"/>
              <w:sz w:val="28"/>
              <w:szCs w:val="28"/>
            </w:rPr>
          </w:r>
        </w:p>
      </w:sdtContent>
    </w:sdt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– профессия мног</w:t>
      </w:r>
      <w:r>
        <w:rPr>
          <w:rFonts w:ascii="Times New Roman" w:hAnsi="Times New Roman" w:cs="Times New Roman"/>
          <w:sz w:val="28"/>
          <w:szCs w:val="28"/>
        </w:rPr>
        <w:t xml:space="preserve">огранная. И задач в школе у учителя много. А тема ВИЧ/СПИДа нередко добавляет лишних хлопот с подготовкой материалов и ответами на каверзные вопросы подростков. Как Вы могли убедиться, на нашем сайте в разных разделах есть исчерпывающая информация о природ</w:t>
      </w:r>
      <w:r>
        <w:rPr>
          <w:rFonts w:ascii="Times New Roman" w:hAnsi="Times New Roman" w:cs="Times New Roman"/>
          <w:sz w:val="28"/>
          <w:szCs w:val="28"/>
        </w:rPr>
        <w:t xml:space="preserve">е заболевания, течении, путях передачи и способах защиты. Однако при проведении занятий на тему ВИЧ/СПИДа даже этого бывает недостаточно. В этом разделе мы попытались обобщить опыт проведения профилактических занятий и кратко изложить то, что ни в коем слу</w:t>
      </w:r>
      <w:r>
        <w:rPr>
          <w:rFonts w:ascii="Times New Roman" w:hAnsi="Times New Roman" w:cs="Times New Roman"/>
          <w:sz w:val="28"/>
          <w:szCs w:val="28"/>
        </w:rPr>
        <w:t xml:space="preserve">чае не должно выпасть из внимания при подготовке любого профилактического мероприятия. Если у Вас  есть вопрос, на который мы не ответили на нашем сайте, Вы всегда сможете задать его нам по телефону – 64-79-01 (отдел профилактики) или по электронной почте </w:t>
      </w:r>
      <w:hyperlink r:id="rId10" w:tooltip="mailto:aids1@yandex.ru" w:history="1">
        <w:r>
          <w:rPr>
            <w:rStyle w:val="711"/>
            <w:rFonts w:ascii="Times New Roman" w:hAnsi="Times New Roman" w:cs="Times New Roman"/>
            <w:sz w:val="28"/>
            <w:szCs w:val="28"/>
          </w:rPr>
          <w:t xml:space="preserve">aids1@yandex.ru</w:t>
        </w:r>
      </w:hyperlink>
      <w:r/>
      <w:r>
        <w:rPr>
          <w:rFonts w:ascii="Times New Roman" w:hAnsi="Times New Roman" w:cs="Times New Roman"/>
          <w:sz w:val="28"/>
          <w:szCs w:val="28"/>
        </w:rPr>
      </w:r>
    </w:p>
    <w:p>
      <w:pPr>
        <w:pStyle w:val="719"/>
        <w:rPr>
          <w:szCs w:val="28"/>
        </w:rPr>
      </w:pPr>
      <w:r/>
      <w:bookmarkStart w:id="1" w:name="_Toc271535143"/>
      <w:r>
        <w:rPr>
          <w:szCs w:val="28"/>
        </w:rPr>
        <w:t xml:space="preserve">В международной практике можно выделить следующие основные модели профилактики:</w:t>
      </w:r>
      <w:r>
        <w:rPr>
          <w:szCs w:val="28"/>
        </w:rPr>
      </w:r>
    </w:p>
    <w:p>
      <w:pPr>
        <w:pStyle w:val="719"/>
        <w:numPr>
          <w:ilvl w:val="0"/>
          <w:numId w:val="11"/>
        </w:numPr>
        <w:ind w:left="1080"/>
        <w:tabs>
          <w:tab w:val="clear" w:pos="360" w:leader="none"/>
          <w:tab w:val="num" w:pos="1080" w:leader="none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медицинская модель </w:t>
      </w:r>
      <w:r>
        <w:rPr>
          <w:szCs w:val="28"/>
        </w:rPr>
        <w:t xml:space="preserve">ориентирована преимущественно на </w:t>
      </w:r>
      <w:r>
        <w:rPr>
          <w:szCs w:val="28"/>
        </w:rPr>
        <w:t xml:space="preserve">медико-социальные</w:t>
      </w:r>
      <w:r>
        <w:rPr>
          <w:szCs w:val="28"/>
        </w:rPr>
        <w:t xml:space="preserve"> последствия и предусматривает в основном информирование учащихся о негативных последствиях приема наркотических и иных </w:t>
      </w:r>
      <w:r>
        <w:rPr>
          <w:szCs w:val="28"/>
        </w:rPr>
        <w:t xml:space="preserve">психоактивных</w:t>
      </w:r>
      <w:r>
        <w:rPr>
          <w:szCs w:val="28"/>
        </w:rPr>
        <w:t xml:space="preserve"> веществ на физическое и психическое здоровье.</w:t>
      </w:r>
      <w:r>
        <w:rPr>
          <w:b/>
          <w:i/>
          <w:szCs w:val="28"/>
        </w:rPr>
      </w:r>
    </w:p>
    <w:p>
      <w:pPr>
        <w:pStyle w:val="719"/>
        <w:numPr>
          <w:ilvl w:val="0"/>
          <w:numId w:val="11"/>
        </w:numPr>
        <w:ind w:left="1080"/>
        <w:tabs>
          <w:tab w:val="clear" w:pos="360" w:leader="none"/>
          <w:tab w:val="num" w:pos="1080" w:leader="none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образовательная модель </w:t>
      </w:r>
      <w:r>
        <w:rPr>
          <w:szCs w:val="28"/>
        </w:rPr>
        <w:t xml:space="preserve">направлена на обеспечение детей и молодежи полной информацией о проблеме наркомании и обеспечение свободы выбора при максимальной информированности.</w:t>
      </w:r>
      <w:r>
        <w:rPr>
          <w:b/>
          <w:i/>
          <w:szCs w:val="28"/>
        </w:rPr>
      </w:r>
    </w:p>
    <w:p>
      <w:pPr>
        <w:pStyle w:val="719"/>
        <w:numPr>
          <w:ilvl w:val="0"/>
          <w:numId w:val="11"/>
        </w:numPr>
        <w:ind w:left="1080"/>
        <w:tabs>
          <w:tab w:val="clear" w:pos="360" w:leader="none"/>
          <w:tab w:val="num" w:pos="1080" w:leader="none"/>
        </w:tabs>
        <w:rPr>
          <w:b/>
          <w:i/>
          <w:szCs w:val="28"/>
        </w:rPr>
      </w:pPr>
      <w:r>
        <w:rPr>
          <w:b/>
          <w:i/>
          <w:szCs w:val="28"/>
        </w:rPr>
        <w:t xml:space="preserve">психосоциальная модель</w:t>
      </w:r>
      <w:r>
        <w:rPr>
          <w:szCs w:val="28"/>
        </w:rPr>
        <w:t xml:space="preserve"> своей главной целью утверждает необходимость развития определенных психологических навыков в противостоянии групповому давлению, в </w:t>
      </w:r>
      <w:r>
        <w:rPr>
          <w:szCs w:val="28"/>
        </w:rPr>
        <w:t xml:space="preserve">решении конфликтной ситуации</w:t>
      </w:r>
      <w:r>
        <w:rPr>
          <w:szCs w:val="28"/>
        </w:rPr>
        <w:t xml:space="preserve">, в умении сделать правильный выбор в сложной ситуации.</w:t>
      </w:r>
      <w:r>
        <w:rPr>
          <w:b/>
          <w:i/>
          <w:szCs w:val="28"/>
        </w:rPr>
      </w:r>
    </w:p>
    <w:p>
      <w:pPr>
        <w:pStyle w:val="719"/>
        <w:ind w:left="720" w:firstLine="0"/>
        <w:rPr>
          <w:b/>
          <w:i/>
          <w:szCs w:val="28"/>
        </w:rPr>
      </w:pPr>
      <w:r>
        <w:rPr>
          <w:b/>
          <w:i/>
          <w:szCs w:val="28"/>
        </w:rPr>
      </w:r>
      <w:r>
        <w:rPr>
          <w:b/>
          <w:i/>
          <w:szCs w:val="28"/>
        </w:rPr>
      </w:r>
    </w:p>
    <w:p>
      <w:pPr>
        <w:pStyle w:val="719"/>
        <w:rPr>
          <w:szCs w:val="28"/>
        </w:rPr>
      </w:pPr>
      <w:r>
        <w:rPr>
          <w:b/>
          <w:i/>
          <w:szCs w:val="28"/>
        </w:rPr>
        <w:t xml:space="preserve">Цели:</w:t>
      </w:r>
      <w:r>
        <w:rPr>
          <w:szCs w:val="28"/>
        </w:rPr>
        <w:t xml:space="preserve"> изменение ценностного отношения детей и молодежи к проблеме наркотиков, ВИЧ/СПИД, ЗППП. Формирование личной ответственности</w:t>
      </w:r>
      <w:r>
        <w:rPr>
          <w:szCs w:val="28"/>
        </w:rPr>
        <w:t xml:space="preserve"> за свое поведение; сдерживание вовлечения детей и молодежи в прием наркотических веществ за счет пропаганды здорового образа жизни, формирования антинаркотических установок и профилактической работы, осуществляемой сотрудниками образовательных учреждений.</w:t>
      </w:r>
      <w:r>
        <w:rPr>
          <w:szCs w:val="28"/>
        </w:rPr>
      </w:r>
    </w:p>
    <w:p>
      <w:pPr>
        <w:pStyle w:val="719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</w:r>
      <w:r>
        <w:rPr>
          <w:b/>
          <w:i/>
          <w:szCs w:val="28"/>
        </w:rPr>
      </w:r>
    </w:p>
    <w:p>
      <w:pPr>
        <w:pStyle w:val="719"/>
        <w:ind w:firstLine="0"/>
        <w:jc w:val="center"/>
        <w:rPr>
          <w:b/>
          <w:i/>
          <w:szCs w:val="28"/>
        </w:rPr>
      </w:pPr>
      <w:r>
        <w:rPr>
          <w:b/>
          <w:i/>
          <w:szCs w:val="28"/>
        </w:rPr>
        <w:t xml:space="preserve">Профилактические мероприятия направлены </w:t>
      </w:r>
      <w:r>
        <w:rPr>
          <w:b/>
          <w:i/>
          <w:szCs w:val="28"/>
        </w:rPr>
        <w:t xml:space="preserve">на</w:t>
      </w:r>
      <w:r>
        <w:rPr>
          <w:b/>
          <w:i/>
          <w:szCs w:val="28"/>
        </w:rPr>
        <w:t xml:space="preserve">:</w:t>
      </w:r>
      <w:r>
        <w:rPr>
          <w:b/>
          <w:i/>
          <w:szCs w:val="28"/>
        </w:rPr>
      </w:r>
    </w:p>
    <w:p>
      <w:pPr>
        <w:pStyle w:val="719"/>
        <w:ind w:firstLine="0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719"/>
        <w:numPr>
          <w:ilvl w:val="0"/>
          <w:numId w:val="12"/>
        </w:numPr>
        <w:rPr>
          <w:szCs w:val="28"/>
        </w:rPr>
      </w:pPr>
      <w:r>
        <w:rPr>
          <w:szCs w:val="28"/>
        </w:rPr>
        <w:t xml:space="preserve">формирование личностных ресурсов, обеспечивающих развитие у детей и молодежи социально-нормативного жизненного стиля с доминированием ценностей здорового образа жизни, действенной установки на отказ от приема </w:t>
      </w:r>
      <w:r>
        <w:rPr>
          <w:szCs w:val="28"/>
        </w:rPr>
        <w:t xml:space="preserve">психоактивных</w:t>
      </w:r>
      <w:r>
        <w:rPr>
          <w:szCs w:val="28"/>
        </w:rPr>
        <w:t xml:space="preserve"> веществ;</w:t>
      </w:r>
      <w:r>
        <w:rPr>
          <w:szCs w:val="28"/>
        </w:rPr>
      </w:r>
    </w:p>
    <w:p>
      <w:pPr>
        <w:pStyle w:val="719"/>
        <w:numPr>
          <w:ilvl w:val="0"/>
          <w:numId w:val="12"/>
        </w:numPr>
        <w:rPr>
          <w:szCs w:val="28"/>
        </w:rPr>
      </w:pPr>
      <w:r>
        <w:rPr>
          <w:szCs w:val="28"/>
        </w:rPr>
        <w:t xml:space="preserve">формирование ресурсов семьи, помогающих воспитанию у детей и подростков законопослушного, успешного и ответственного </w:t>
      </w:r>
      <w:r>
        <w:rPr>
          <w:szCs w:val="28"/>
        </w:rPr>
        <w:t xml:space="preserve">поведения, а также ресурсов семьи, обеспечивающих поддержку ребенку, начавшему употреблять наркотики, сдерживающих его разрыв с семьей и помогающих ему на стадии социально-медицинской реабилитации при прекращении приема наркотиков; внедрение в образователь</w:t>
      </w:r>
      <w:r>
        <w:rPr>
          <w:szCs w:val="28"/>
        </w:rPr>
        <w:t xml:space="preserve">ной среде инновационных педагогических и психологических технологий, обеспечивающих развитие ценностей здорового образа жизни и мотивов отказа от «пробы» и приема наркотиков, а также технологий раннего обнаружения случаев употребления наркотиков учащимися;</w:t>
      </w:r>
      <w:r>
        <w:rPr>
          <w:szCs w:val="28"/>
        </w:rPr>
      </w:r>
    </w:p>
    <w:p>
      <w:pPr>
        <w:pStyle w:val="719"/>
        <w:numPr>
          <w:ilvl w:val="0"/>
          <w:numId w:val="12"/>
        </w:numPr>
        <w:rPr>
          <w:szCs w:val="28"/>
        </w:rPr>
      </w:pPr>
      <w:r>
        <w:rPr>
          <w:szCs w:val="28"/>
        </w:rPr>
        <w:t xml:space="preserve">развитие социально-поддерживающей инфраструктуры, включающей семью в </w:t>
      </w:r>
      <w:r>
        <w:rPr>
          <w:szCs w:val="28"/>
        </w:rPr>
        <w:t xml:space="preserve">микросоциальное</w:t>
      </w:r>
      <w:r>
        <w:rPr>
          <w:szCs w:val="28"/>
        </w:rPr>
        <w:t xml:space="preserve"> окружение ребенка «группы риска».</w:t>
      </w:r>
      <w:r>
        <w:rPr>
          <w:szCs w:val="28"/>
        </w:rPr>
      </w:r>
    </w:p>
    <w:p>
      <w:pPr>
        <w:pStyle w:val="719"/>
        <w:rPr>
          <w:szCs w:val="28"/>
        </w:rPr>
      </w:pPr>
      <w:r>
        <w:rPr>
          <w:szCs w:val="28"/>
        </w:rPr>
      </w:r>
      <w:r>
        <w:rPr>
          <w:szCs w:val="28"/>
        </w:rPr>
      </w:r>
    </w:p>
    <w:p>
      <w:pPr>
        <w:pStyle w:val="719"/>
        <w:rPr>
          <w:szCs w:val="28"/>
        </w:rPr>
      </w:pPr>
      <w:r>
        <w:rPr>
          <w:szCs w:val="28"/>
        </w:rPr>
        <w:t xml:space="preserve">Ведущими аспектами профилактической деятельности в образовательной среде являются:</w:t>
      </w:r>
      <w:r>
        <w:rPr>
          <w:szCs w:val="28"/>
        </w:rPr>
      </w:r>
    </w:p>
    <w:p>
      <w:pPr>
        <w:pStyle w:val="719"/>
        <w:numPr>
          <w:ilvl w:val="0"/>
          <w:numId w:val="13"/>
        </w:numPr>
        <w:ind w:left="1080"/>
        <w:tabs>
          <w:tab w:val="clear" w:pos="360" w:leader="none"/>
          <w:tab w:val="num" w:pos="1080" w:leader="none"/>
        </w:tabs>
        <w:rPr>
          <w:szCs w:val="28"/>
        </w:rPr>
      </w:pPr>
      <w:r>
        <w:rPr>
          <w:szCs w:val="28"/>
          <w:u w:val="single"/>
        </w:rPr>
        <w:t xml:space="preserve">социальный аспект</w:t>
      </w:r>
      <w:r>
        <w:rPr>
          <w:szCs w:val="28"/>
        </w:rPr>
        <w:t xml:space="preserve">, ориентированный на формирование позитивных моральных и нравственных ценностей, определяющих выбор здорового образа жизни, отрицательного отношения к пробе и приему наркотиков;</w:t>
      </w:r>
      <w:r>
        <w:rPr>
          <w:szCs w:val="28"/>
        </w:rPr>
      </w:r>
    </w:p>
    <w:p>
      <w:pPr>
        <w:pStyle w:val="719"/>
        <w:numPr>
          <w:ilvl w:val="0"/>
          <w:numId w:val="13"/>
        </w:numPr>
        <w:ind w:left="1080"/>
        <w:tabs>
          <w:tab w:val="clear" w:pos="360" w:leader="none"/>
          <w:tab w:val="num" w:pos="1080" w:leader="none"/>
        </w:tabs>
        <w:rPr>
          <w:szCs w:val="28"/>
        </w:rPr>
      </w:pPr>
      <w:r>
        <w:rPr>
          <w:szCs w:val="28"/>
          <w:u w:val="single"/>
        </w:rPr>
        <w:t xml:space="preserve">психологический аспект</w:t>
      </w:r>
      <w:r>
        <w:rPr>
          <w:szCs w:val="28"/>
        </w:rPr>
        <w:t xml:space="preserve">, направленный на формирование </w:t>
      </w:r>
      <w:r>
        <w:rPr>
          <w:szCs w:val="28"/>
        </w:rPr>
        <w:t xml:space="preserve">стрессоустойчивых</w:t>
      </w:r>
      <w:r>
        <w:rPr>
          <w:szCs w:val="28"/>
        </w:rPr>
        <w:t xml:space="preserve"> личностных установок, позитивно-когнитивных оценок, а также навыков «быть успешным», быть способным сделать позитивный альтернативный выбор в трудной жизненной ситуации, включая ситуацию предложения наркотиков;</w:t>
      </w:r>
      <w:r>
        <w:rPr>
          <w:szCs w:val="28"/>
        </w:rPr>
      </w:r>
    </w:p>
    <w:p>
      <w:pPr>
        <w:pStyle w:val="719"/>
        <w:numPr>
          <w:ilvl w:val="0"/>
          <w:numId w:val="13"/>
        </w:numPr>
        <w:ind w:left="1080"/>
        <w:tabs>
          <w:tab w:val="clear" w:pos="360" w:leader="none"/>
          <w:tab w:val="num" w:pos="1080" w:leader="none"/>
        </w:tabs>
        <w:rPr>
          <w:szCs w:val="28"/>
        </w:rPr>
      </w:pPr>
      <w:r>
        <w:rPr>
          <w:szCs w:val="28"/>
          <w:u w:val="single"/>
        </w:rPr>
        <w:t xml:space="preserve">образовательный аспект</w:t>
      </w:r>
      <w:r>
        <w:rPr>
          <w:szCs w:val="28"/>
        </w:rPr>
        <w:t xml:space="preserve">, формирующий систему представлений и знаний о социально-психологических, медицинских, правовых и морально-этических последствиях злоупотребления ПАВ.  </w:t>
      </w:r>
      <w:r>
        <w:rPr>
          <w:szCs w:val="28"/>
        </w:rPr>
      </w:r>
    </w:p>
    <w:p>
      <w:pPr>
        <w:pStyle w:val="719"/>
        <w:ind w:left="720" w:firstLine="0"/>
        <w:rPr>
          <w:szCs w:val="28"/>
          <w:u w:val="single"/>
        </w:rPr>
      </w:pPr>
      <w:r>
        <w:rPr>
          <w:szCs w:val="28"/>
          <w:u w:val="single"/>
        </w:rPr>
      </w:r>
      <w:r>
        <w:rPr>
          <w:szCs w:val="28"/>
          <w:u w:val="single"/>
        </w:rPr>
      </w:r>
    </w:p>
    <w:p>
      <w:pPr>
        <w:pStyle w:val="719"/>
        <w:rPr>
          <w:szCs w:val="28"/>
        </w:rPr>
      </w:pPr>
      <w:r>
        <w:rPr>
          <w:szCs w:val="28"/>
        </w:rPr>
        <w:t xml:space="preserve">Воспитательный процесс, направленный на предотвращение негативных явлений среди школьников, - это не только специальные занятия по данным вопросам. Он включает в себя раннюю (желательно, начиная уже </w:t>
      </w:r>
      <w:r>
        <w:rPr>
          <w:szCs w:val="28"/>
        </w:rPr>
        <w:t xml:space="preserve">с начальной школы) профилактику. Акцент делается на важные личностные и социальные навыки, помогающие детям делать свой собственный выбор.</w:t>
      </w:r>
      <w:r>
        <w:rPr>
          <w:szCs w:val="28"/>
        </w:rPr>
      </w:r>
    </w:p>
    <w:p>
      <w:pPr>
        <w:pStyle w:val="719"/>
        <w:rPr>
          <w:szCs w:val="28"/>
        </w:rPr>
      </w:pPr>
      <w:r>
        <w:rPr>
          <w:szCs w:val="28"/>
        </w:rPr>
        <w:t xml:space="preserve">В начальной школе это интегрировано в уроки о здоровом образе жизни и в общий воспитательный аспект. Наиболее важными компонентами здесь являются развитие личности, тренинг социальных навыков и поддержка положительного климата в  школе и классе.</w:t>
      </w:r>
      <w:r>
        <w:rPr>
          <w:szCs w:val="28"/>
        </w:rPr>
      </w:r>
    </w:p>
    <w:p>
      <w:pPr>
        <w:pStyle w:val="719"/>
        <w:rPr>
          <w:szCs w:val="28"/>
        </w:rPr>
      </w:pPr>
      <w:r>
        <w:rPr>
          <w:szCs w:val="28"/>
        </w:rPr>
        <w:t xml:space="preserve">В средней школе эти компоненты остаются приоритетными, но они дополняются целенаправленными уроками и мероприятиями, соответствующими знаниям, вопросам, опыту и жизненному миру учеников.</w:t>
      </w:r>
      <w:r>
        <w:rPr>
          <w:szCs w:val="28"/>
        </w:rPr>
      </w:r>
    </w:p>
    <w:p>
      <w:pPr>
        <w:pStyle w:val="719"/>
        <w:rPr>
          <w:szCs w:val="28"/>
        </w:rPr>
      </w:pPr>
      <w:r>
        <w:rPr>
          <w:szCs w:val="28"/>
        </w:rPr>
        <w:t xml:space="preserve">Очень важным является общий климат и культура школы и класса. Они формируют основу успешной политики школы в отношении негативных явлений.</w:t>
      </w:r>
      <w:r>
        <w:rPr>
          <w:szCs w:val="28"/>
        </w:rPr>
      </w:r>
    </w:p>
    <w:p>
      <w:pPr>
        <w:pStyle w:val="706"/>
        <w:rPr>
          <w:rFonts w:ascii="Times New Roman" w:hAnsi="Times New Roman" w:cs="Times New Roman"/>
          <w:color w:val="auto"/>
        </w:rPr>
      </w:pPr>
      <w:r/>
      <w:bookmarkStart w:id="2" w:name="_Toc400361642"/>
      <w:r>
        <w:rPr>
          <w:rFonts w:ascii="Times New Roman" w:hAnsi="Times New Roman" w:cs="Times New Roman"/>
          <w:color w:val="auto"/>
        </w:rPr>
        <w:t xml:space="preserve">1. </w:t>
      </w:r>
      <w:r>
        <w:rPr>
          <w:rFonts w:ascii="Times New Roman" w:hAnsi="Times New Roman" w:cs="Times New Roman"/>
          <w:color w:val="auto"/>
        </w:rPr>
        <w:t xml:space="preserve">Особенности тематики ВИЧ/СПИДа и ИППП</w:t>
      </w:r>
      <w:bookmarkEnd w:id="1"/>
      <w:r/>
      <w:bookmarkEnd w:id="2"/>
      <w:r/>
      <w:r>
        <w:rPr>
          <w:rFonts w:ascii="Times New Roman" w:hAnsi="Times New Roman" w:cs="Times New Roman"/>
          <w:color w:val="auto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Связана</w:t>
      </w:r>
      <w:r>
        <w:rPr>
          <w:rFonts w:ascii="Times New Roman" w:hAnsi="Times New Roman" w:cs="Times New Roman"/>
          <w:sz w:val="28"/>
          <w:szCs w:val="28"/>
        </w:rPr>
        <w:t xml:space="preserve"> с интимной сферой отношений мужчины и женщины.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Предполагает обсуждение осуждаемых в обществе форм поведения: однополых интимных отношений, употребления наркотиков, неверности и частой перемены половых партнеров (часто с греховным поведением)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Ассоциируется со смертью, страх не позволяет считать тему актуальной для себя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сих пор имеет стереотип по группам, наиболее подверженным риску заражения: гомосексуалисты, проститутки, наркоманы, </w:t>
      </w:r>
      <w:r>
        <w:rPr>
          <w:rFonts w:ascii="Times New Roman" w:hAnsi="Times New Roman" w:cs="Times New Roman"/>
          <w:sz w:val="28"/>
          <w:szCs w:val="28"/>
        </w:rPr>
        <w:t xml:space="preserve">БОМЖи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Должна основываться на ранее заложенных основах половой гигиены и репродуктивного здоровья.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1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Предполагает психологическую и социальную готовность подростка обсуждать вопросы здоровья, в </w:t>
      </w:r>
      <w:r>
        <w:rPr>
          <w:rFonts w:ascii="Times New Roman" w:hAnsi="Times New Roman" w:cs="Times New Roman"/>
          <w:sz w:val="28"/>
          <w:szCs w:val="28"/>
        </w:rPr>
        <w:t xml:space="preserve">т.ч</w:t>
      </w:r>
      <w:r>
        <w:rPr>
          <w:rFonts w:ascii="Times New Roman" w:hAnsi="Times New Roman" w:cs="Times New Roman"/>
          <w:sz w:val="28"/>
          <w:szCs w:val="28"/>
        </w:rPr>
        <w:t xml:space="preserve">. сексуального.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Согласитесь, сложно обсуждать интимн</w:t>
      </w:r>
      <w:r>
        <w:rPr>
          <w:rFonts w:ascii="Times New Roman" w:hAnsi="Times New Roman" w:cs="Times New Roman"/>
          <w:sz w:val="28"/>
          <w:szCs w:val="28"/>
        </w:rPr>
        <w:t xml:space="preserve">ые вопросы в классе, и даже думать о них в серьез – очень сложно. Поэтому так важно соблюдать беспристрастность при изложении материала. Но, ни в коем случае не замещая её сухостью и отстраненностью от аудитории. На занятии будет много смешков, хихиканий, </w:t>
      </w:r>
      <w:r>
        <w:rPr>
          <w:rFonts w:ascii="Times New Roman" w:hAnsi="Times New Roman" w:cs="Times New Roman"/>
          <w:sz w:val="28"/>
          <w:szCs w:val="28"/>
        </w:rPr>
        <w:t xml:space="preserve">тычков</w:t>
      </w:r>
      <w:r>
        <w:rPr>
          <w:rFonts w:ascii="Times New Roman" w:hAnsi="Times New Roman" w:cs="Times New Roman"/>
          <w:sz w:val="28"/>
          <w:szCs w:val="28"/>
        </w:rPr>
        <w:t xml:space="preserve"> в бок соседей и </w:t>
      </w:r>
      <w:r>
        <w:rPr>
          <w:rFonts w:ascii="Times New Roman" w:hAnsi="Times New Roman" w:cs="Times New Roman"/>
          <w:sz w:val="28"/>
          <w:szCs w:val="28"/>
        </w:rPr>
        <w:t xml:space="preserve">перепихиваний</w:t>
      </w:r>
      <w:r>
        <w:rPr>
          <w:rFonts w:ascii="Times New Roman" w:hAnsi="Times New Roman" w:cs="Times New Roman"/>
          <w:sz w:val="28"/>
          <w:szCs w:val="28"/>
        </w:rPr>
        <w:t xml:space="preserve">, закрытых ладошками улыбок, и других наруш</w:t>
      </w:r>
      <w:r>
        <w:rPr>
          <w:rFonts w:ascii="Times New Roman" w:hAnsi="Times New Roman" w:cs="Times New Roman"/>
          <w:sz w:val="28"/>
          <w:szCs w:val="28"/>
        </w:rPr>
        <w:t xml:space="preserve">ающих дисциплину моментов. И это стоит считать нормальной атмосферой, особенно если занятие ведется в виде простого изложения материала. Если в этот момент все ваши усилия будут сосредоточены на поддержании дисциплины, то результат занятия будет сомнителен</w:t>
      </w:r>
      <w:r>
        <w:rPr>
          <w:rFonts w:ascii="Times New Roman" w:hAnsi="Times New Roman" w:cs="Times New Roman"/>
          <w:sz w:val="28"/>
          <w:szCs w:val="28"/>
        </w:rPr>
        <w:t xml:space="preserve">. Ведь сложность восприятия темы сопровождается высокой эмоциональной нагрузкой и если подросток не найдет, куда выплеснуть напряжение и 45 минут будет занят только тем, чтобы вести себя хорошо, в его голове вряд ли отложится необходимый минимум знаний. И </w:t>
      </w:r>
      <w:r>
        <w:rPr>
          <w:rFonts w:ascii="Times New Roman" w:hAnsi="Times New Roman" w:cs="Times New Roman"/>
          <w:sz w:val="28"/>
          <w:szCs w:val="28"/>
        </w:rPr>
        <w:t xml:space="preserve">Ваш труд, и время пропадут даром. Мы не призываем к попустительству беспорядка, мы обращаем Ваше внимание на то, что излишнее внимание дисциплине на подобных занятиях идет во вред, а не на пользу.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Выход из этого есть – форма подачи должна быть интерактивной. Игры, задачи, вопросы, упражнения-разминки на снятие напряжения, развитие коммуникации, </w:t>
      </w:r>
      <w:r>
        <w:rPr>
          <w:rFonts w:ascii="Times New Roman" w:hAnsi="Times New Roman" w:cs="Times New Roman"/>
          <w:sz w:val="28"/>
          <w:szCs w:val="28"/>
        </w:rPr>
        <w:t xml:space="preserve">командообразование</w:t>
      </w:r>
      <w:r>
        <w:rPr>
          <w:rFonts w:ascii="Times New Roman" w:hAnsi="Times New Roman" w:cs="Times New Roman"/>
          <w:sz w:val="28"/>
          <w:szCs w:val="28"/>
        </w:rPr>
        <w:t xml:space="preserve"> – все это поможет создать условия для успешного усвоения материала,  придать ему интересную форму.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6"/>
        <w:rPr>
          <w:rFonts w:ascii="Times New Roman" w:hAnsi="Times New Roman" w:cs="Times New Roman"/>
          <w:color w:val="auto"/>
        </w:rPr>
      </w:pPr>
      <w:r/>
      <w:bookmarkStart w:id="3" w:name="_Toc271535144"/>
      <w:r/>
      <w:bookmarkStart w:id="4" w:name="_Toc400361643"/>
      <w:r>
        <w:rPr>
          <w:rFonts w:ascii="Times New Roman" w:hAnsi="Times New Roman" w:cs="Times New Roman"/>
          <w:color w:val="auto"/>
        </w:rPr>
        <w:t xml:space="preserve">2. Принципы информирования и </w:t>
      </w:r>
      <w:r>
        <w:rPr>
          <w:rFonts w:ascii="Times New Roman" w:hAnsi="Times New Roman" w:cs="Times New Roman"/>
          <w:color w:val="auto"/>
        </w:rPr>
        <w:t xml:space="preserve">обучения по вопросам</w:t>
      </w:r>
      <w:r>
        <w:rPr>
          <w:rFonts w:ascii="Times New Roman" w:hAnsi="Times New Roman" w:cs="Times New Roman"/>
          <w:color w:val="auto"/>
        </w:rPr>
        <w:t xml:space="preserve"> ВИЧ/СПИДа</w:t>
      </w:r>
      <w:bookmarkEnd w:id="3"/>
      <w:r/>
      <w:bookmarkEnd w:id="4"/>
      <w:r/>
      <w:r>
        <w:rPr>
          <w:rFonts w:ascii="Times New Roman" w:hAnsi="Times New Roman" w:cs="Times New Roman"/>
          <w:color w:val="auto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Нейтральность в подаче информации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Всестороннее рассмотрение проблемы, исключение манипулирования через информацию и форму подачи материала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Адекватность информации целевой группе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Ориентация материала на имеющийся опыт,  знания, ценностно-мотивационную сферу  подростков, создание жизненной  перспективы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Личное отношение к проблеме и </w:t>
      </w:r>
      <w:r>
        <w:rPr>
          <w:rFonts w:ascii="Times New Roman" w:hAnsi="Times New Roman" w:cs="Times New Roman"/>
          <w:sz w:val="28"/>
          <w:szCs w:val="28"/>
        </w:rPr>
        <w:t xml:space="preserve">недискриминация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ВИЧ-инфицированных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Актуализация личных ресурсов подростка и развитие навыков и стратегий безопасного, </w:t>
      </w:r>
      <w:r>
        <w:rPr>
          <w:rFonts w:ascii="Times New Roman" w:hAnsi="Times New Roman" w:cs="Times New Roman"/>
          <w:sz w:val="28"/>
          <w:szCs w:val="28"/>
        </w:rPr>
        <w:t xml:space="preserve">здоровьесберегающего</w:t>
      </w:r>
      <w:r>
        <w:rPr>
          <w:rFonts w:ascii="Times New Roman" w:hAnsi="Times New Roman" w:cs="Times New Roman"/>
          <w:sz w:val="28"/>
          <w:szCs w:val="28"/>
        </w:rPr>
        <w:t xml:space="preserve"> поведения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7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и воспитание личной ответственности за свою </w:t>
      </w:r>
      <w:r>
        <w:rPr>
          <w:rFonts w:ascii="Times New Roman" w:hAnsi="Times New Roman" w:cs="Times New Roman"/>
          <w:sz w:val="28"/>
          <w:szCs w:val="28"/>
        </w:rPr>
        <w:t xml:space="preserve">жизнь</w:t>
      </w:r>
      <w:r>
        <w:rPr>
          <w:rFonts w:ascii="Times New Roman" w:hAnsi="Times New Roman" w:cs="Times New Roman"/>
          <w:sz w:val="28"/>
          <w:szCs w:val="28"/>
        </w:rPr>
        <w:t xml:space="preserve"> и здоровье, привитие представлений об уникальности и ценности жизни здоровья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сразу </w:t>
      </w:r>
      <w:r>
        <w:rPr>
          <w:rFonts w:ascii="Times New Roman" w:hAnsi="Times New Roman" w:cs="Times New Roman"/>
          <w:sz w:val="28"/>
          <w:szCs w:val="28"/>
        </w:rPr>
        <w:t xml:space="preserve">вопрос</w:t>
      </w:r>
      <w:r>
        <w:rPr>
          <w:rFonts w:ascii="Times New Roman" w:hAnsi="Times New Roman" w:cs="Times New Roman"/>
          <w:sz w:val="28"/>
          <w:szCs w:val="28"/>
        </w:rPr>
        <w:t xml:space="preserve"> – о каком личном отношении к проблеме идет речь в п.5, если материал должен излагаться нейтрально? А речь иде</w:t>
      </w:r>
      <w:r>
        <w:rPr>
          <w:rFonts w:ascii="Times New Roman" w:hAnsi="Times New Roman" w:cs="Times New Roman"/>
          <w:sz w:val="28"/>
          <w:szCs w:val="28"/>
        </w:rPr>
        <w:t xml:space="preserve">т как раз о том, что личное отношение к проблеме у учителя должно быть определено достаточно четко и даже должно быть высказано, но после того, как будет изучен весь материал, и у подростков появится свое мнение. Авторитет педагога, его мнение, опыт очень </w:t>
      </w:r>
      <w:r>
        <w:rPr>
          <w:rFonts w:ascii="Times New Roman" w:hAnsi="Times New Roman" w:cs="Times New Roman"/>
          <w:sz w:val="28"/>
          <w:szCs w:val="28"/>
        </w:rPr>
        <w:t xml:space="preserve">важны</w:t>
      </w:r>
      <w:r>
        <w:rPr>
          <w:rFonts w:ascii="Times New Roman" w:hAnsi="Times New Roman" w:cs="Times New Roman"/>
          <w:sz w:val="28"/>
          <w:szCs w:val="28"/>
        </w:rPr>
        <w:t xml:space="preserve">. Но страхи бывают сильнее нас, а потому и отношении в проблеме ВИЧ, и тем более отношение </w:t>
      </w:r>
      <w:r>
        <w:rPr>
          <w:rFonts w:ascii="Times New Roman" w:hAnsi="Times New Roman" w:cs="Times New Roman"/>
          <w:sz w:val="28"/>
          <w:szCs w:val="28"/>
        </w:rPr>
        <w:t xml:space="preserve">к</w:t>
      </w:r>
      <w:r>
        <w:rPr>
          <w:rFonts w:ascii="Times New Roman" w:hAnsi="Times New Roman" w:cs="Times New Roman"/>
          <w:sz w:val="28"/>
          <w:szCs w:val="28"/>
        </w:rPr>
        <w:t xml:space="preserve"> ВИЧ-инфицированным у каждого из нас не однозначное. При проведении работы важно удерживать во внимании учащихся позицию «не исключения» людей, живущих с ВИЧ из общества. Для этого надо четко предста</w:t>
      </w:r>
      <w:r>
        <w:rPr>
          <w:rFonts w:ascii="Times New Roman" w:hAnsi="Times New Roman" w:cs="Times New Roman"/>
          <w:sz w:val="28"/>
          <w:szCs w:val="28"/>
        </w:rPr>
        <w:t xml:space="preserve">влять понятия дискриминации и толерантности. С чего начинается дискриминация, на основе чего формируются дискриминационные представления и как их можно преодолеть, что такое терпимость и толерантность? Почему эти явления способствуют борьбе с разрастанием </w:t>
      </w:r>
      <w:r>
        <w:rPr>
          <w:rFonts w:ascii="Times New Roman" w:hAnsi="Times New Roman" w:cs="Times New Roman"/>
          <w:sz w:val="28"/>
          <w:szCs w:val="28"/>
        </w:rPr>
        <w:t xml:space="preserve">эпидемии? Эти вопросы должны быть обязательно обсуждены после изучения материалов о ВИЧ-инфекции.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6"/>
        <w:rPr>
          <w:rFonts w:ascii="Times New Roman" w:hAnsi="Times New Roman" w:cs="Times New Roman"/>
          <w:color w:val="auto"/>
        </w:rPr>
      </w:pPr>
      <w:r/>
      <w:bookmarkStart w:id="5" w:name="_Toc271535145"/>
      <w:r/>
      <w:bookmarkStart w:id="6" w:name="_Toc400361644"/>
      <w:r>
        <w:rPr>
          <w:rFonts w:ascii="Times New Roman" w:hAnsi="Times New Roman" w:cs="Times New Roman"/>
          <w:color w:val="auto"/>
        </w:rPr>
        <w:t xml:space="preserve">3. Характеристики целевой группы, находящиеся в зоне повышенного внимания при проведении профилактической работы</w:t>
      </w:r>
      <w:bookmarkEnd w:id="5"/>
      <w:r/>
      <w:bookmarkEnd w:id="6"/>
      <w:r/>
      <w:r>
        <w:rPr>
          <w:rFonts w:ascii="Times New Roman" w:hAnsi="Times New Roman" w:cs="Times New Roman"/>
          <w:color w:val="auto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Знания по проблеме ВИЧ/СПИДа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Установки по отношению к рискованному поведению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Поведение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Отношение с социальным окружением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Уровни </w:t>
      </w:r>
      <w:r>
        <w:rPr>
          <w:rFonts w:ascii="Times New Roman" w:hAnsi="Times New Roman" w:cs="Times New Roman"/>
          <w:sz w:val="28"/>
          <w:szCs w:val="28"/>
        </w:rPr>
        <w:t xml:space="preserve">адаптированности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8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Личностные и средовые ресурсы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Эти характеристики необходимо не только изучить при проведении работы с подростками, но и при необходимости проводить корригирующее воздействие на них. Если со знаниями по теме все понятно, то выявление и использование личност</w:t>
      </w:r>
      <w:r>
        <w:rPr>
          <w:rFonts w:ascii="Times New Roman" w:hAnsi="Times New Roman" w:cs="Times New Roman"/>
          <w:sz w:val="28"/>
          <w:szCs w:val="28"/>
        </w:rPr>
        <w:t xml:space="preserve">ных и средовых ресурсов подростка, коррекция рискованного поведения потребуют как специально разработанных упражнений, так и навыков работы в группе. Это не просто информирование, это обучение, на котором будет основываться безопасность каждого подростка.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краткий перечень того, что должно остаться после профилактических занятий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Понимание природы заболевания и знание путей передачи и способов защиты.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Умение адекватно оценить риск заражения и сделать выбор в пользу поведения, содействующего предупреждению заражения ВИЧ/ЗППП.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Знания о том, куда при необходимости можно обращаться за соответствующей медицинской помощью.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Бережное отношение к своему здоровью.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Критическое восприятие необъективной информации и мифов, относящихся к СПИДу.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Толерантное отношение к людям, инфицированным ВИЧ.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6"/>
        <w:rPr>
          <w:rFonts w:ascii="Times New Roman" w:hAnsi="Times New Roman" w:cs="Times New Roman"/>
          <w:color w:val="auto"/>
        </w:rPr>
      </w:pPr>
      <w:r/>
      <w:bookmarkStart w:id="7" w:name="_Toc271535146"/>
      <w:r/>
      <w:bookmarkStart w:id="8" w:name="_Toc400361645"/>
      <w:r>
        <w:rPr>
          <w:rFonts w:ascii="Times New Roman" w:hAnsi="Times New Roman" w:cs="Times New Roman"/>
          <w:color w:val="auto"/>
        </w:rPr>
        <w:t xml:space="preserve">4. Факторы, затрудняющие восприятие материала</w:t>
      </w:r>
      <w:bookmarkEnd w:id="7"/>
      <w:r/>
      <w:bookmarkEnd w:id="8"/>
      <w:r/>
      <w:r>
        <w:rPr>
          <w:rFonts w:ascii="Times New Roman" w:hAnsi="Times New Roman" w:cs="Times New Roman"/>
          <w:color w:val="auto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Личная позиция и роль учителя в общении с подростком, авторитет учителя.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Невозможность говорить на интимные темы открыто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Несоответствие представлений учителя о знаниях подростков на тему сексуальных отношений и реальными знаниями подростков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Неполное предоставление информации, акцентуация внимания на вопросах, важных с позиции учителя, урезание наиболее интересной подростку информации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Желание подростков показать, что они знают гораздо больше на эту тему, чем взрослые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Неготовность обсуждать вопросы сексуального здоровья, как со стороны подростка, так и со стороны взрослого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6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Стеснение мальчиков и девочек друг перед другом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6"/>
        <w:rPr>
          <w:rFonts w:ascii="Times New Roman" w:hAnsi="Times New Roman" w:cs="Times New Roman"/>
          <w:color w:val="auto"/>
        </w:rPr>
      </w:pPr>
      <w:r/>
      <w:bookmarkStart w:id="9" w:name="_Toc271535147"/>
      <w:r/>
      <w:bookmarkStart w:id="10" w:name="_Toc400361646"/>
      <w:r>
        <w:rPr>
          <w:rFonts w:ascii="Times New Roman" w:hAnsi="Times New Roman" w:cs="Times New Roman"/>
          <w:color w:val="auto"/>
        </w:rPr>
        <w:t xml:space="preserve">5. Ошибки при подаче материала</w:t>
      </w:r>
      <w:bookmarkEnd w:id="9"/>
      <w:r/>
      <w:bookmarkEnd w:id="10"/>
      <w:r/>
      <w:r>
        <w:rPr>
          <w:rFonts w:ascii="Times New Roman" w:hAnsi="Times New Roman" w:cs="Times New Roman"/>
          <w:color w:val="auto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Неверная интерпретация излагаемого материала: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Пример: 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Факт. Средняя продолжительность заболевания от момента заражения ВИЧ до развития заключительной стадии (СПИДа) составляет от 5-8 до 10-12, в отдельных случаях до 15 лет.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Варианты изложения: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а. От момента  заражения ВИЧ до стадии СПИДа и смерти человек может прожить от 5 до 12-15 лет. Т.е. в среднем через 10 лет, в зависимости от индивидуальных особенностей, типа вируса и сопутствующих факторов (прием наркотиков)  он умрет.</w:t>
      </w:r>
      <w:r>
        <w:rPr>
          <w:rFonts w:ascii="Times New Roman" w:hAnsi="Times New Roman" w:cs="Times New Roman"/>
          <w:sz w:val="28"/>
          <w:szCs w:val="28"/>
        </w:rPr>
        <w:t xml:space="preserve"> (НЕ РЕКОМЕНДУЕТСЯ)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</w:t>
      </w:r>
      <w:r>
        <w:rPr>
          <w:rFonts w:ascii="Times New Roman" w:hAnsi="Times New Roman" w:cs="Times New Roman"/>
          <w:sz w:val="28"/>
          <w:szCs w:val="28"/>
        </w:rPr>
        <w:t xml:space="preserve">. Без лечения продолжительность болезни (от заражения до стадии СПИДа) может составлять от 5 до 12-15 лет, но при адекв</w:t>
      </w:r>
      <w:r>
        <w:rPr>
          <w:rFonts w:ascii="Times New Roman" w:hAnsi="Times New Roman" w:cs="Times New Roman"/>
          <w:sz w:val="28"/>
          <w:szCs w:val="28"/>
        </w:rPr>
        <w:t xml:space="preserve">атном лечении течение ВИЧ-инфекции значительно замедляется, и говорить о конкретной цифре продолжительности жизни человека с ВИЧ-инфекцией нельзя. Стадия СПИДа в этом случае может никогда не наступить. Т.е. человек проживет с данным заболеванием всю жизнь.</w:t>
      </w:r>
      <w:r>
        <w:rPr>
          <w:rFonts w:ascii="Times New Roman" w:hAnsi="Times New Roman" w:cs="Times New Roman"/>
          <w:sz w:val="28"/>
          <w:szCs w:val="28"/>
        </w:rPr>
        <w:t xml:space="preserve"> (РЕКОМЕНДУЕТСЯ</w:t>
      </w:r>
      <w:r>
        <w:rPr>
          <w:rFonts w:ascii="Times New Roman" w:hAnsi="Times New Roman" w:cs="Times New Roman"/>
          <w:sz w:val="28"/>
          <w:szCs w:val="28"/>
        </w:rPr>
        <w:tab/>
        <w:t xml:space="preserve">)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Высокий уровень субъективизма при изложении фактического материала, касающегося факторов и путей передачи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Факт: изначально высокая распространенность заболевания н</w:t>
      </w:r>
      <w:r>
        <w:rPr>
          <w:rFonts w:ascii="Times New Roman" w:hAnsi="Times New Roman" w:cs="Times New Roman"/>
          <w:sz w:val="28"/>
          <w:szCs w:val="28"/>
        </w:rPr>
        <w:t xml:space="preserve">аблюдалась в так называемых группах риска – среди потребителей инъекционных наркотиков, мужчин, имеющих секс с мужчинами, работниц коммерческого секса. Сегодня заболевание вышло за пределы группы  риска каждый из нас может быть подвержен этому заболеванию.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Субъективная оценка: прежде всего СПИДом болеют те, кто ведет распущенный, недостойный образ жизни. Проститутки, гомосексуалисты, наркоманы продолжают заражаться, остаются источником заболевания и распространять ВИЧ в обществе.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Неполная, неточная информация, недостаточное понимание материала ведущим, затрудняющее ответы на сложные вопросы.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Факт: латекс, из которого делают презервативы и перчатки для медицинских работников  – резина природного происхождения и имеет поры. Поры латекса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Оставление без внимания вопросов, неудобных для ответа, вопросов, содержащих нецензурные выражения или неприличные, по мнению ведущего, ситуации.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Высокое желание прокомментировать любые факты исходя из собственных представлений ведущего, которые значительно ограничивают возможность обсуждения проблем в группе. Мнение ведущего преподносится как единственно верное.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Завышенное внимание к дисциплине в группе приводит к высокому напряжению участников и ведущего, уводит от важности темы.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numPr>
          <w:ilvl w:val="0"/>
          <w:numId w:val="9"/>
        </w:num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Стеснение при обсуждении интимных вопросов часто провоцирует подростков на активное задавание вопросов ведущему именно на эту тему.</w:t>
      </w:r>
      <w:bookmarkEnd w:id="0"/>
      <w:r>
        <w:rPr>
          <w:rFonts w:ascii="Times New Roman" w:hAnsi="Times New Roman" w:cs="Times New Roman"/>
          <w:sz w:val="28"/>
          <w:szCs w:val="28"/>
        </w:rPr>
      </w:r>
    </w:p>
    <w:p>
      <w:pPr>
        <w:pStyle w:val="71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ebdings">
    <w:panose1 w:val="05040102010807070707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imes New Roman">
    <w:panose1 w:val="02020603050405020304"/>
  </w:font>
  <w:font w:name="Tahoma">
    <w:panose1 w:val="020B0506030602030204"/>
  </w:font>
  <w:font w:name="GaramondCTT"/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46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86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8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0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2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4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6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8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06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8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2520" w:hanging="360"/>
        <w:tabs>
          <w:tab w:val="num" w:pos="2880" w:leader="none"/>
        </w:tabs>
      </w:pPr>
      <w:rPr>
        <w:rFonts w:hint="default"/>
      </w:rPr>
    </w:lvl>
    <w:lvl w:ilvl="2">
      <w:start w:val="1"/>
      <w:numFmt w:val="bullet"/>
      <w:isLgl w:val="false"/>
      <w:suff w:val="tab"/>
      <w:lvlText w:val=""/>
      <w:lvlJc w:val="left"/>
      <w:pPr>
        <w:ind w:left="3240" w:hanging="360"/>
        <w:tabs>
          <w:tab w:val="num" w:pos="3600" w:leader="none"/>
        </w:tabs>
      </w:pPr>
      <w:rPr>
        <w:rFonts w:hint="default" w:ascii="Webdings" w:hAnsi="Webdings"/>
        <w:b/>
        <w:i w:val="0"/>
        <w:strike w:val="0"/>
        <w:color w:val="ff0000"/>
        <w:sz w:val="44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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360" w:hanging="360"/>
        <w:tabs>
          <w:tab w:val="num" w:pos="360" w:leader="none"/>
        </w:tabs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2520" w:hanging="360"/>
        <w:tabs>
          <w:tab w:val="num" w:pos="252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ind w:left="360" w:hanging="360"/>
        <w:tabs>
          <w:tab w:val="num" w:pos="720" w:leader="none"/>
        </w:tabs>
      </w:pPr>
      <w:rPr>
        <w:rFonts w:hint="default"/>
        <w:b/>
      </w:rPr>
    </w:lvl>
    <w:lvl w:ilvl="2">
      <w:start w:val="1"/>
      <w:numFmt w:val="bullet"/>
      <w:isLgl w:val="false"/>
      <w:suff w:val="tab"/>
      <w:lvlText w:val=""/>
      <w:lvlJc w:val="left"/>
      <w:pPr>
        <w:ind w:left="3240" w:hanging="360"/>
        <w:tabs>
          <w:tab w:val="num" w:pos="3600" w:leader="none"/>
        </w:tabs>
      </w:pPr>
      <w:rPr>
        <w:rFonts w:hint="default" w:ascii="Webdings" w:hAnsi="Webdings"/>
        <w:b/>
        <w:i w:val="0"/>
        <w:strike w:val="0"/>
        <w:color w:val="ff0000"/>
        <w:sz w:val="44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  <w:tabs>
          <w:tab w:val="num" w:pos="396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  <w:tabs>
          <w:tab w:val="num" w:pos="468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  <w:tabs>
          <w:tab w:val="num" w:pos="540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  <w:tabs>
          <w:tab w:val="num" w:pos="612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  <w:tabs>
          <w:tab w:val="num" w:pos="684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  <w:tabs>
          <w:tab w:val="num" w:pos="756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500" w:hanging="360"/>
        <w:tabs>
          <w:tab w:val="num" w:pos="1500" w:leader="none"/>
        </w:tabs>
      </w:pPr>
      <w:rPr>
        <w:rFonts w:hint="default" w:ascii="Wingdings" w:hAnsi="Wingdings"/>
        <w:color w:val="auto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</w:lvl>
  </w:abstractNum>
  <w:num w:numId="1">
    <w:abstractNumId w:val="21"/>
  </w:num>
  <w:num w:numId="2">
    <w:abstractNumId w:val="5"/>
  </w:num>
  <w:num w:numId="3">
    <w:abstractNumId w:val="4"/>
  </w:num>
  <w:num w:numId="4">
    <w:abstractNumId w:val="19"/>
  </w:num>
  <w:num w:numId="5">
    <w:abstractNumId w:val="17"/>
  </w:num>
  <w:num w:numId="6">
    <w:abstractNumId w:val="1"/>
  </w:num>
  <w:num w:numId="7">
    <w:abstractNumId w:val="24"/>
  </w:num>
  <w:num w:numId="8">
    <w:abstractNumId w:val="20"/>
  </w:num>
  <w:num w:numId="9">
    <w:abstractNumId w:val="6"/>
  </w:num>
  <w:num w:numId="10">
    <w:abstractNumId w:val="23"/>
  </w:num>
  <w:num w:numId="11">
    <w:abstractNumId w:val="16"/>
  </w:num>
  <w:num w:numId="12">
    <w:abstractNumId w:val="10"/>
  </w:num>
  <w:num w:numId="13">
    <w:abstractNumId w:val="15"/>
  </w:num>
  <w:num w:numId="14">
    <w:abstractNumId w:val="25"/>
  </w:num>
  <w:num w:numId="15">
    <w:abstractNumId w:val="0"/>
  </w:num>
  <w:num w:numId="16">
    <w:abstractNumId w:val="13"/>
  </w:num>
  <w:num w:numId="17">
    <w:abstractNumId w:val="18"/>
  </w:num>
  <w:num w:numId="18">
    <w:abstractNumId w:val="2"/>
  </w:num>
  <w:num w:numId="19">
    <w:abstractNumId w:val="9"/>
  </w:num>
  <w:num w:numId="20">
    <w:abstractNumId w:val="22"/>
  </w:num>
  <w:num w:numId="21">
    <w:abstractNumId w:val="7"/>
  </w:num>
  <w:num w:numId="22">
    <w:abstractNumId w:val="11"/>
  </w:num>
  <w:num w:numId="23">
    <w:abstractNumId w:val="3"/>
  </w:num>
  <w:num w:numId="24">
    <w:abstractNumId w:val="14"/>
  </w:num>
  <w:num w:numId="25">
    <w:abstractNumId w:val="8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08"/>
    <w:link w:val="706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708"/>
    <w:link w:val="707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5"/>
    <w:next w:val="70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0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5"/>
    <w:next w:val="70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0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5"/>
    <w:next w:val="70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0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5"/>
    <w:next w:val="70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0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5"/>
    <w:next w:val="70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0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5"/>
    <w:next w:val="70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0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5"/>
    <w:next w:val="70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0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5"/>
    <w:next w:val="70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08"/>
    <w:link w:val="34"/>
    <w:uiPriority w:val="10"/>
    <w:rPr>
      <w:sz w:val="48"/>
      <w:szCs w:val="48"/>
    </w:rPr>
  </w:style>
  <w:style w:type="paragraph" w:styleId="36">
    <w:name w:val="Subtitle"/>
    <w:basedOn w:val="705"/>
    <w:next w:val="70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08"/>
    <w:link w:val="36"/>
    <w:uiPriority w:val="11"/>
    <w:rPr>
      <w:sz w:val="24"/>
      <w:szCs w:val="24"/>
    </w:rPr>
  </w:style>
  <w:style w:type="paragraph" w:styleId="38">
    <w:name w:val="Quote"/>
    <w:basedOn w:val="705"/>
    <w:next w:val="70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5"/>
    <w:next w:val="70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08"/>
    <w:link w:val="712"/>
    <w:uiPriority w:val="99"/>
  </w:style>
  <w:style w:type="character" w:styleId="45">
    <w:name w:val="Footer Char"/>
    <w:basedOn w:val="708"/>
    <w:link w:val="714"/>
    <w:uiPriority w:val="99"/>
  </w:style>
  <w:style w:type="paragraph" w:styleId="46">
    <w:name w:val="Caption"/>
    <w:basedOn w:val="705"/>
    <w:next w:val="70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714"/>
    <w:uiPriority w:val="99"/>
  </w:style>
  <w:style w:type="table" w:styleId="48">
    <w:name w:val="Table Grid"/>
    <w:basedOn w:val="70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0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0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0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0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0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70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08"/>
    <w:uiPriority w:val="99"/>
    <w:unhideWhenUsed/>
    <w:rPr>
      <w:vertAlign w:val="superscript"/>
    </w:rPr>
  </w:style>
  <w:style w:type="paragraph" w:styleId="178">
    <w:name w:val="endnote text"/>
    <w:basedOn w:val="70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08"/>
    <w:uiPriority w:val="99"/>
    <w:semiHidden/>
    <w:unhideWhenUsed/>
    <w:rPr>
      <w:vertAlign w:val="superscript"/>
    </w:rPr>
  </w:style>
  <w:style w:type="paragraph" w:styleId="183">
    <w:name w:val="toc 3"/>
    <w:basedOn w:val="705"/>
    <w:next w:val="70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5"/>
    <w:next w:val="70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5"/>
    <w:next w:val="70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5"/>
    <w:next w:val="70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5"/>
    <w:next w:val="70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5"/>
    <w:next w:val="70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5"/>
    <w:next w:val="705"/>
    <w:uiPriority w:val="39"/>
    <w:unhideWhenUsed/>
    <w:pPr>
      <w:ind w:left="2268" w:right="0" w:firstLine="0"/>
      <w:spacing w:after="57"/>
    </w:pPr>
  </w:style>
  <w:style w:type="paragraph" w:styleId="191">
    <w:name w:val="table of figures"/>
    <w:basedOn w:val="705"/>
    <w:next w:val="705"/>
    <w:uiPriority w:val="99"/>
    <w:unhideWhenUsed/>
    <w:pPr>
      <w:spacing w:after="0" w:afterAutospacing="0"/>
    </w:pPr>
  </w:style>
  <w:style w:type="paragraph" w:styleId="705" w:default="1">
    <w:name w:val="Normal"/>
    <w:qFormat/>
  </w:style>
  <w:style w:type="paragraph" w:styleId="706">
    <w:name w:val="Heading 1"/>
    <w:basedOn w:val="705"/>
    <w:next w:val="705"/>
    <w:link w:val="716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07">
    <w:name w:val="Heading 2"/>
    <w:basedOn w:val="705"/>
    <w:next w:val="705"/>
    <w:link w:val="729"/>
    <w:uiPriority w:val="9"/>
    <w:semiHidden/>
    <w:unhideWhenUsed/>
    <w:qFormat/>
    <w:pPr>
      <w:keepLines/>
      <w:keepNext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708" w:default="1">
    <w:name w:val="Default Paragraph Font"/>
    <w:uiPriority w:val="1"/>
    <w:semiHidden/>
    <w:unhideWhenUsed/>
  </w:style>
  <w:style w:type="table" w:styleId="70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0" w:default="1">
    <w:name w:val="No List"/>
    <w:uiPriority w:val="99"/>
    <w:semiHidden/>
    <w:unhideWhenUsed/>
  </w:style>
  <w:style w:type="character" w:styleId="711">
    <w:name w:val="Hyperlink"/>
    <w:basedOn w:val="708"/>
    <w:uiPriority w:val="99"/>
    <w:unhideWhenUsed/>
    <w:rPr>
      <w:color w:val="0000ff" w:themeColor="hyperlink"/>
      <w:u w:val="single"/>
    </w:rPr>
  </w:style>
  <w:style w:type="paragraph" w:styleId="712">
    <w:name w:val="Header"/>
    <w:basedOn w:val="705"/>
    <w:link w:val="71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13" w:customStyle="1">
    <w:name w:val="Верхний колонтитул Знак"/>
    <w:basedOn w:val="708"/>
    <w:link w:val="712"/>
    <w:uiPriority w:val="99"/>
  </w:style>
  <w:style w:type="paragraph" w:styleId="714">
    <w:name w:val="Footer"/>
    <w:basedOn w:val="705"/>
    <w:link w:val="71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15" w:customStyle="1">
    <w:name w:val="Нижний колонтитул Знак"/>
    <w:basedOn w:val="708"/>
    <w:link w:val="714"/>
    <w:uiPriority w:val="99"/>
  </w:style>
  <w:style w:type="character" w:styleId="716" w:customStyle="1">
    <w:name w:val="Заголовок 1 Знак"/>
    <w:basedOn w:val="708"/>
    <w:link w:val="706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17">
    <w:name w:val="List Paragraph"/>
    <w:basedOn w:val="705"/>
    <w:uiPriority w:val="34"/>
    <w:qFormat/>
    <w:pPr>
      <w:contextualSpacing/>
      <w:ind w:left="720"/>
    </w:pPr>
  </w:style>
  <w:style w:type="paragraph" w:styleId="718" w:customStyle="1">
    <w:name w:val="Основной текст1"/>
    <w:pPr>
      <w:ind w:firstLine="454"/>
      <w:jc w:val="both"/>
      <w:spacing w:after="0" w:line="240" w:lineRule="auto"/>
      <w:widowControl w:val="off"/>
    </w:pPr>
    <w:rPr>
      <w:rFonts w:ascii="GaramondCTT" w:hAnsi="GaramondCTT" w:eastAsia="Times New Roman" w:cs="Times New Roman"/>
      <w:color w:val="000000"/>
      <w:sz w:val="20"/>
      <w:szCs w:val="20"/>
      <w:lang w:eastAsia="ru-RU"/>
    </w:rPr>
  </w:style>
  <w:style w:type="paragraph" w:styleId="719">
    <w:name w:val="Body Text Indent"/>
    <w:basedOn w:val="705"/>
    <w:link w:val="720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20" w:customStyle="1">
    <w:name w:val="Основной текст с отступом Знак"/>
    <w:basedOn w:val="708"/>
    <w:link w:val="719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21">
    <w:name w:val="Body Text"/>
    <w:basedOn w:val="705"/>
    <w:link w:val="722"/>
    <w:uiPriority w:val="99"/>
    <w:semiHidden/>
    <w:unhideWhenUsed/>
    <w:pPr>
      <w:spacing w:after="120"/>
    </w:pPr>
  </w:style>
  <w:style w:type="character" w:styleId="722" w:customStyle="1">
    <w:name w:val="Основной текст Знак"/>
    <w:basedOn w:val="708"/>
    <w:link w:val="721"/>
    <w:uiPriority w:val="99"/>
    <w:semiHidden/>
  </w:style>
  <w:style w:type="paragraph" w:styleId="723">
    <w:name w:val="Body Text 2"/>
    <w:basedOn w:val="705"/>
    <w:link w:val="724"/>
    <w:uiPriority w:val="99"/>
    <w:semiHidden/>
    <w:unhideWhenUsed/>
    <w:pPr>
      <w:spacing w:after="120" w:line="480" w:lineRule="auto"/>
    </w:pPr>
  </w:style>
  <w:style w:type="character" w:styleId="724" w:customStyle="1">
    <w:name w:val="Основной текст 2 Знак"/>
    <w:basedOn w:val="708"/>
    <w:link w:val="723"/>
    <w:uiPriority w:val="99"/>
    <w:semiHidden/>
  </w:style>
  <w:style w:type="paragraph" w:styleId="725">
    <w:name w:val="Body Text 3"/>
    <w:basedOn w:val="705"/>
    <w:link w:val="726"/>
    <w:uiPriority w:val="99"/>
    <w:semiHidden/>
    <w:unhideWhenUsed/>
    <w:pPr>
      <w:spacing w:after="120"/>
    </w:pPr>
    <w:rPr>
      <w:sz w:val="16"/>
      <w:szCs w:val="16"/>
    </w:rPr>
  </w:style>
  <w:style w:type="character" w:styleId="726" w:customStyle="1">
    <w:name w:val="Основной текст 3 Знак"/>
    <w:basedOn w:val="708"/>
    <w:link w:val="725"/>
    <w:uiPriority w:val="99"/>
    <w:semiHidden/>
    <w:rPr>
      <w:sz w:val="16"/>
      <w:szCs w:val="16"/>
    </w:rPr>
  </w:style>
  <w:style w:type="paragraph" w:styleId="727">
    <w:name w:val="Balloon Text"/>
    <w:basedOn w:val="705"/>
    <w:link w:val="72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728" w:customStyle="1">
    <w:name w:val="Текст выноски Знак"/>
    <w:basedOn w:val="708"/>
    <w:link w:val="727"/>
    <w:uiPriority w:val="99"/>
    <w:semiHidden/>
    <w:rPr>
      <w:rFonts w:ascii="Tahoma" w:hAnsi="Tahoma" w:cs="Tahoma"/>
      <w:sz w:val="16"/>
      <w:szCs w:val="16"/>
    </w:rPr>
  </w:style>
  <w:style w:type="character" w:styleId="729" w:customStyle="1">
    <w:name w:val="Заголовок 2 Знак"/>
    <w:basedOn w:val="708"/>
    <w:link w:val="707"/>
    <w:uiPriority w:val="9"/>
    <w:semiHidden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730">
    <w:name w:val="TOC Heading"/>
    <w:basedOn w:val="706"/>
    <w:next w:val="705"/>
    <w:uiPriority w:val="39"/>
    <w:unhideWhenUsed/>
    <w:qFormat/>
    <w:pPr>
      <w:outlineLvl w:val="9"/>
    </w:pPr>
    <w:rPr>
      <w:lang w:eastAsia="ru-RU"/>
    </w:rPr>
  </w:style>
  <w:style w:type="paragraph" w:styleId="731">
    <w:name w:val="toc 1"/>
    <w:basedOn w:val="705"/>
    <w:next w:val="705"/>
    <w:uiPriority w:val="39"/>
    <w:unhideWhenUsed/>
    <w:pPr>
      <w:spacing w:after="100"/>
    </w:pPr>
  </w:style>
  <w:style w:type="paragraph" w:styleId="732">
    <w:name w:val="toc 2"/>
    <w:basedOn w:val="705"/>
    <w:next w:val="705"/>
    <w:uiPriority w:val="39"/>
    <w:unhideWhenUsed/>
    <w:pPr>
      <w:ind w:left="220"/>
      <w:spacing w:after="10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aids1@yandex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C50038-BFB1-49CF-8BFA-48B46CE3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PROFOTDEL E S</dc:creator>
  <cp:keywords/>
  <dc:description/>
  <cp:lastModifiedBy>Кировский СПИД-центр</cp:lastModifiedBy>
  <cp:revision>14</cp:revision>
  <dcterms:created xsi:type="dcterms:W3CDTF">2014-08-25T06:34:00Z</dcterms:created>
  <dcterms:modified xsi:type="dcterms:W3CDTF">2024-10-17T11:05:19Z</dcterms:modified>
</cp:coreProperties>
</file>